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horzAnchor="margin" w:tblpX="7269" w:tblpY="511" w:vertAnchor="page"/>
        <w:tblW w:type="auto" w:w="0"/>
        <w:tblLayout w:type="fixed"/>
        <w:tblCellMar>
          <w:left w:type="dxa" w:w="0"/>
          <w:right w:type="dxa" w:w="0"/>
        </w:tblCellMar>
      </w:tblPr>
      <w:tblGrid>
        <w:gridCol w:w="1702"/>
      </w:tblGrid>
      <w:tr>
        <w:trPr>
          <w:trHeight w:hRule="atLeast" w:val="540"/>
        </w:trPr>
        <w:tc>
          <w:tcPr>
            <w:tcW w:type="dxa" w:w="1702"/>
            <w:tcMar>
              <w:left w:type="dxa" w:w="0"/>
              <w:right w:type="dxa" w:w="0"/>
            </w:tcMar>
          </w:tcPr>
          <w:p w14:paraId="05000000">
            <w:pPr>
              <w:spacing w:after="0" w:line="240" w:lineRule="auto"/>
              <w:ind/>
              <w:rPr>
                <w:rFonts w:ascii="EanGnivc" w:hAnsi="EanGnivc"/>
                <w:sz w:val="64"/>
              </w:rPr>
            </w:pPr>
          </w:p>
        </w:tc>
      </w:tr>
    </w:tbl>
    <w:p w14:paraId="06000000">
      <w:pPr>
        <w:pStyle w:val="Style_4"/>
        <w:spacing w:after="0" w:before="0"/>
        <w:ind/>
        <w:rPr>
          <w:color w:val="333333"/>
          <w:sz w:val="28"/>
        </w:rPr>
      </w:pPr>
    </w:p>
    <w:p w14:paraId="07000000">
      <w:pPr>
        <w:pStyle w:val="Style_4"/>
        <w:spacing w:after="0" w:before="0"/>
        <w:ind/>
        <w:rPr>
          <w:color w:val="333333"/>
          <w:sz w:val="28"/>
        </w:rPr>
      </w:pP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Ростовская межрайонная прокуратура принимает комплекс мер, направленных на пресечение незаконной деятельности, связанной с обманом доверчивых граждан и хищением у них денежных средств. 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в ноябре 2024 года человек преклонного возраста, проживающий на территории Ростовского округа, нашел объявление в сети «Интернет» о продаже топливных брикетов. Для возможности приобретения брикетов мужчина перевел неустановленному лицу 25 тыс. рублей, однако в оговоренный срок товар не доставлен.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данному факту правоохранительным органами округа возбуждено уголовное дело. В целях восстановления прав потерпевшего Ростовский межрайонный прокурор мировому судье судебного участка № 358 района Западное Дергунино г. Москвы направлено исковое заявление о взыскании с мужчины, 1994 года рождения, жителя г. Москвы, неосновательного обогащения в сумме 25 тыс. рублей. 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обоснование требований указано, что в действительности никаких договорных отношений между потерпевшим и владельцем банковской карты не имелось, объявление о продаже брикетов размещалось в сети «Интернет» с целью обмана граждан и получения денежных средств, в связи с чем средства подлежат возврату. </w:t>
      </w:r>
    </w:p>
    <w:p w14:paraId="0D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Решением Мирового судьи судебного участка № 358 района Западное Дергунино г. Москвы требования прокурора удовлетворены. В целях восстановления прав и законных интересов граждан межрайонным прокурором предъявляются аналогичные исковые заявления в интересах жителей округа, ставших жертвами злоумышленников.</w:t>
      </w:r>
    </w:p>
    <w:p w14:paraId="0E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Работа в данном направлении находится на личном контроле Ростовского межрайонного прокурора. </w:t>
      </w:r>
    </w:p>
    <w:p w14:paraId="0F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Старший помощник межрайонного прокурора</w:t>
      </w:r>
    </w:p>
    <w:p w14:paraId="11000000">
      <w:pPr>
        <w:spacing w:after="0" w:line="240" w:lineRule="auto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юрист 2 класса                                                                                     Т.А. Сухинина </w:t>
      </w:r>
    </w:p>
    <w:p w14:paraId="1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24.09.2025</w:t>
      </w:r>
      <w:r>
        <w:rPr>
          <w:rFonts w:ascii="Times New Roman" w:hAnsi="Times New Roman"/>
          <w:sz w:val="28"/>
        </w:rPr>
        <w:t xml:space="preserve"> </w:t>
      </w:r>
    </w:p>
    <w:tbl>
      <w:tblPr>
        <w:tblStyle w:val="Style_2"/>
        <w:tblW w:type="auto" w:w="0"/>
        <w:tblLayout w:type="fixed"/>
      </w:tblPr>
      <w:tblGrid>
        <w:gridCol w:w="9889"/>
      </w:tblGrid>
      <w:tr>
        <w:trPr>
          <w:trHeight w:hRule="exact" w:val="1848"/>
        </w:trPr>
        <w:tc>
          <w:tcPr>
            <w:tcW w:type="dxa" w:w="9889"/>
          </w:tcPr>
          <w:p w14:paraId="13000000">
            <w:pPr>
              <w:spacing w:after="0" w:before="120" w:line="360" w:lineRule="exact"/>
              <w:ind w:firstLine="0" w:left="3005"/>
              <w:rPr>
                <w:rFonts w:ascii="Times New Roman" w:hAnsi="Times New Roman"/>
                <w:color w:themeColor="background1" w:themeShade="BF" w:val="BFBFBF"/>
                <w:sz w:val="28"/>
              </w:rPr>
            </w:pPr>
            <w:bookmarkStart w:id="3" w:name="SIGNERSTAMP1"/>
          </w:p>
          <w:p w14:paraId="14000000">
            <w:pPr>
              <w:spacing w:after="0" w:before="120" w:line="360" w:lineRule="exact"/>
              <w:ind w:firstLine="0" w:left="3005"/>
              <w:rPr>
                <w:rFonts w:ascii="Times New Roman" w:hAnsi="Times New Roman"/>
                <w:color w:themeColor="background1" w:themeShade="BF" w:val="BFBFBF"/>
                <w:sz w:val="28"/>
              </w:rPr>
            </w:pPr>
            <w:r>
              <w:rPr>
                <w:rFonts w:ascii="Times New Roman" w:hAnsi="Times New Roman"/>
                <w:color w:themeColor="background1" w:themeShade="BF" w:val="BFBFBF"/>
                <w:sz w:val="28"/>
              </w:rPr>
              <w:t>штамп подписи</w:t>
            </w:r>
            <w:bookmarkEnd w:id="3"/>
          </w:p>
          <w:p w14:paraId="15000000">
            <w:pPr>
              <w:spacing w:after="0" w:line="360" w:lineRule="exact"/>
              <w:ind/>
              <w:rPr>
                <w:rFonts w:ascii="Times New Roman" w:hAnsi="Times New Roman"/>
                <w:color w:themeColor="background1" w:themeShade="80" w:val="808080"/>
                <w:sz w:val="28"/>
              </w:rPr>
            </w:pPr>
          </w:p>
        </w:tc>
      </w:tr>
    </w:tbl>
    <w:p w14:paraId="16000000">
      <w:pPr>
        <w:spacing w:after="0" w:line="240" w:lineRule="auto"/>
        <w:ind/>
        <w:rPr>
          <w:rFonts w:ascii="Times New Roman" w:hAnsi="Times New Roman"/>
          <w:sz w:val="20"/>
        </w:rPr>
      </w:pPr>
    </w:p>
    <w:sectPr>
      <w:headerReference r:id="rId1" w:type="first"/>
      <w:footerReference r:id="rId2" w:type="first"/>
      <w:pgSz w:h="16838" w:orient="portrait" w:w="11906"/>
      <w:pgMar w:bottom="851" w:footer="709" w:gutter="0" w:header="709" w:left="1418" w:right="70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2"/>
      <w:tblpPr w:horzAnchor="margin" w:tblpXSpec="right" w:tblpYSpec="outside" w:vertAnchor="page"/>
      <w:tblW w:type="auto" w:w="0"/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  <w:tblLayout w:type="fixed"/>
      <w:tblCellMar>
        <w:top w:type="dxa" w:w="28"/>
        <w:left w:type="dxa" w:w="28"/>
        <w:bottom w:type="dxa" w:w="28"/>
        <w:right w:type="dxa" w:w="28"/>
      </w:tblCellMar>
    </w:tblPr>
    <w:tblGrid>
      <w:gridCol w:w="3643"/>
    </w:tblGrid>
    <w:tr>
      <w:trPr>
        <w:trHeight w:hRule="atLeast" w:val="57"/>
      </w:trPr>
      <w:tc>
        <w:tcPr>
          <w:tcW w:type="dxa" w:w="3643"/>
          <w:tcBorders>
            <w:top w:color="000000" w:sz="12" w:val="single"/>
            <w:left w:color="000000" w:sz="12" w:val="single"/>
            <w:bottom w:color="000000" w:sz="12" w:val="single"/>
            <w:right w:color="000000" w:sz="12" w:val="single"/>
          </w:tcBorders>
          <w:tcMar>
            <w:top w:type="dxa" w:w="28"/>
            <w:left w:type="dxa" w:w="28"/>
            <w:bottom w:type="dxa" w:w="28"/>
            <w:right w:type="dxa" w:w="28"/>
          </w:tcMar>
        </w:tcPr>
        <w:p w14:paraId="02000000">
          <w:pPr>
            <w:spacing w:after="60" w:line="240" w:lineRule="auto"/>
            <w:ind/>
            <w:jc w:val="center"/>
            <w:rPr>
              <w:rFonts w:ascii="Times New Roman" w:hAnsi="Times New Roman"/>
              <w:sz w:val="16"/>
            </w:rPr>
          </w:pPr>
          <w:bookmarkStart w:id="1" w:name="SIGNERORG1"/>
          <w:r>
            <w:rPr>
              <w:rFonts w:ascii="Times New Roman" w:hAnsi="Times New Roman"/>
              <w:sz w:val="16"/>
            </w:rPr>
            <w:t>о</w:t>
          </w:r>
          <w:r>
            <w:rPr>
              <w:rFonts w:ascii="Times New Roman" w:hAnsi="Times New Roman"/>
              <w:sz w:val="16"/>
            </w:rPr>
            <w:t>рганизация</w:t>
          </w:r>
          <w:bookmarkEnd w:id="1"/>
        </w:p>
        <w:p w14:paraId="03000000">
          <w:pPr>
            <w:spacing w:after="60" w:line="240" w:lineRule="auto"/>
            <w:ind/>
            <w:jc w:val="center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sz w:val="16"/>
            </w:rPr>
            <w:t>№</w:t>
          </w:r>
          <w:bookmarkStart w:id="2" w:name="REGNUMSTAMP"/>
          <w:r>
            <w:rPr>
              <w:rFonts w:ascii="Times New Roman" w:hAnsi="Times New Roman"/>
              <w:sz w:val="16"/>
            </w:rPr>
            <w:t xml:space="preserve"> </w:t>
          </w:r>
          <w:r>
            <w:rPr>
              <w:rFonts w:ascii="Times New Roman" w:hAnsi="Times New Roman"/>
              <w:color w:themeColor="background1" w:themeShade="BF" w:val="BFBFBF"/>
              <w:sz w:val="16"/>
            </w:rPr>
            <w:t>рег.номер</w:t>
          </w:r>
          <w:bookmarkEnd w:id="2"/>
        </w:p>
      </w:tc>
    </w:tr>
  </w:tbl>
  <w:p w14:paraId="04000000">
    <w:pPr>
      <w:pStyle w:val="Style_3"/>
      <w:spacing w:after="60"/>
      <w:ind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4677" w:val="clear"/>
        <w:tab w:leader="none" w:pos="9355" w:val="clear"/>
      </w:tabs>
      <w:ind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4" w:type="paragraph">
    <w:name w:val="Normal (Web)"/>
    <w:basedOn w:val="Style_5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Normal (Web)"/>
    <w:basedOn w:val="Style_5_ch"/>
    <w:link w:val="Style_4"/>
    <w:rPr>
      <w:rFonts w:ascii="Times New Roman" w:hAnsi="Times New Roman"/>
      <w:sz w:val="24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footer"/>
    <w:basedOn w:val="Style_5"/>
    <w:link w:val="Style_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_ch" w:type="character">
    <w:name w:val="footer"/>
    <w:basedOn w:val="Style_5_ch"/>
    <w:link w:val="Style_3"/>
  </w:style>
  <w:style w:styleId="Style_12" w:type="paragraph">
    <w:name w:val="Balloon Text"/>
    <w:basedOn w:val="Style_5"/>
    <w:link w:val="Style_12_ch"/>
    <w:pPr>
      <w:spacing w:after="0" w:line="240" w:lineRule="auto"/>
      <w:ind/>
    </w:pPr>
    <w:rPr>
      <w:rFonts w:ascii="Segoe UI" w:hAnsi="Segoe UI"/>
      <w:sz w:val="18"/>
    </w:rPr>
  </w:style>
  <w:style w:styleId="Style_12_ch" w:type="character">
    <w:name w:val="Balloon Text"/>
    <w:basedOn w:val="Style_5_ch"/>
    <w:link w:val="Style_12"/>
    <w:rPr>
      <w:rFonts w:ascii="Segoe UI" w:hAnsi="Segoe UI"/>
      <w:sz w:val="18"/>
    </w:rPr>
  </w:style>
  <w:style w:styleId="Style_13" w:type="paragraph">
    <w:name w:val="Unresolved Mention"/>
    <w:basedOn w:val="Style_14"/>
    <w:link w:val="Style_13_ch"/>
    <w:rPr>
      <w:color w:val="605E5C"/>
      <w:shd w:fill="E1DFDD" w:val="clear"/>
    </w:rPr>
  </w:style>
  <w:style w:styleId="Style_13_ch" w:type="character">
    <w:name w:val="Unresolved Mention"/>
    <w:basedOn w:val="Style_14_ch"/>
    <w:link w:val="Style_13"/>
    <w:rPr>
      <w:color w:val="605E5C"/>
      <w:shd w:fill="E1DFDD" w:val="clear"/>
    </w:rPr>
  </w:style>
  <w:style w:styleId="Style_15" w:type="paragraph">
    <w:name w:val="Знак"/>
    <w:basedOn w:val="Style_5"/>
    <w:link w:val="Style_15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5_ch" w:type="character">
    <w:name w:val="Знак"/>
    <w:basedOn w:val="Style_5_ch"/>
    <w:link w:val="Style_15"/>
    <w:rPr>
      <w:rFonts w:ascii="Tahoma" w:hAnsi="Tahoma"/>
      <w:sz w:val="20"/>
    </w:rPr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5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basedOn w:val="Style_14"/>
    <w:link w:val="Style_19_ch"/>
    <w:rPr>
      <w:color w:themeColor="hyperlink" w:val="0563C1"/>
      <w:u w:val="single"/>
    </w:rPr>
  </w:style>
  <w:style w:styleId="Style_19_ch" w:type="character">
    <w:name w:val="Hyperlink"/>
    <w:basedOn w:val="Style_14_ch"/>
    <w:link w:val="Style_19"/>
    <w:rPr>
      <w:color w:themeColor="hyperlink" w:val="0563C1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5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ConsPlusNormal"/>
    <w:link w:val="Style_25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25_ch" w:type="character">
    <w:name w:val="ConsPlusNormal"/>
    <w:link w:val="Style_25"/>
    <w:rPr>
      <w:rFonts w:ascii="Times New Roman" w:hAnsi="Times New Roman"/>
      <w:sz w:val="24"/>
    </w:rPr>
  </w:style>
  <w:style w:styleId="Style_26" w:type="paragraph">
    <w:name w:val="Body Text 2"/>
    <w:basedOn w:val="Style_5"/>
    <w:link w:val="Style_26_ch"/>
    <w:pPr>
      <w:spacing w:after="120" w:line="480" w:lineRule="auto"/>
      <w:ind/>
    </w:pPr>
  </w:style>
  <w:style w:styleId="Style_26_ch" w:type="character">
    <w:name w:val="Body Text 2"/>
    <w:basedOn w:val="Style_5_ch"/>
    <w:link w:val="Style_26"/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Body Text Indent 3"/>
    <w:basedOn w:val="Style_5"/>
    <w:link w:val="Style_29_ch"/>
    <w:pPr>
      <w:widowControl w:val="0"/>
      <w:spacing w:after="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29_ch" w:type="character">
    <w:name w:val="Body Text Indent 3"/>
    <w:basedOn w:val="Style_5_ch"/>
    <w:link w:val="Style_29"/>
    <w:rPr>
      <w:rFonts w:ascii="Times New Roman" w:hAnsi="Times New Roman"/>
      <w:sz w:val="28"/>
    </w:rPr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2025-10-13T11:37:54Z</dcterms:modified>
</cp:coreProperties>
</file>